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Rozbudowa </w:t>
      </w:r>
      <w:r w:rsidRPr="009A2AF6">
        <w:rPr>
          <w:rFonts w:ascii="Times New Roman" w:hAnsi="Times New Roman" w:cs="Times New Roman"/>
          <w:b/>
          <w:sz w:val="22"/>
        </w:rPr>
        <w:t>drogi</w:t>
      </w:r>
      <w:r w:rsidRPr="003C77E9">
        <w:rPr>
          <w:rFonts w:ascii="Times New Roman" w:hAnsi="Times New Roman" w:cs="Times New Roman"/>
          <w:b/>
          <w:sz w:val="22"/>
        </w:rPr>
        <w:t xml:space="preserve"> powiatowej nr 3</w:t>
      </w:r>
      <w:r>
        <w:rPr>
          <w:rFonts w:ascii="Times New Roman" w:hAnsi="Times New Roman" w:cs="Times New Roman"/>
          <w:b/>
          <w:sz w:val="22"/>
        </w:rPr>
        <w:t>5</w:t>
      </w:r>
      <w:r w:rsidR="001020DB">
        <w:rPr>
          <w:rFonts w:ascii="Times New Roman" w:hAnsi="Times New Roman" w:cs="Times New Roman"/>
          <w:b/>
          <w:sz w:val="22"/>
        </w:rPr>
        <w:t>05</w:t>
      </w:r>
      <w:r>
        <w:rPr>
          <w:rFonts w:ascii="Times New Roman" w:hAnsi="Times New Roman" w:cs="Times New Roman"/>
          <w:b/>
          <w:sz w:val="22"/>
        </w:rPr>
        <w:t xml:space="preserve">W </w:t>
      </w:r>
      <w:r w:rsidR="001020DB">
        <w:rPr>
          <w:rFonts w:ascii="Times New Roman" w:hAnsi="Times New Roman" w:cs="Times New Roman"/>
          <w:b/>
          <w:sz w:val="22"/>
        </w:rPr>
        <w:t xml:space="preserve">Jaszowice – Wacławów – Sławno </w:t>
      </w:r>
      <w:r>
        <w:rPr>
          <w:rFonts w:ascii="Times New Roman" w:hAnsi="Times New Roman" w:cs="Times New Roman"/>
          <w:b/>
          <w:sz w:val="22"/>
        </w:rPr>
        <w:t xml:space="preserve">        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>
        <w:rPr>
          <w:rFonts w:ascii="Times New Roman" w:hAnsi="Times New Roman" w:cs="Times New Roman"/>
          <w:sz w:val="22"/>
        </w:rPr>
        <w:t xml:space="preserve">rozbudowę </w:t>
      </w:r>
      <w:r w:rsidRPr="004D085C">
        <w:rPr>
          <w:rFonts w:ascii="Times New Roman" w:hAnsi="Times New Roman" w:cs="Times New Roman"/>
          <w:sz w:val="22"/>
        </w:rPr>
        <w:t>drogi powiatowej nr 35</w:t>
      </w:r>
      <w:r w:rsidR="001020DB">
        <w:rPr>
          <w:rFonts w:ascii="Times New Roman" w:hAnsi="Times New Roman" w:cs="Times New Roman"/>
          <w:sz w:val="22"/>
        </w:rPr>
        <w:t>05</w:t>
      </w:r>
      <w:r w:rsidRPr="004D085C">
        <w:rPr>
          <w:rFonts w:ascii="Times New Roman" w:hAnsi="Times New Roman" w:cs="Times New Roman"/>
          <w:sz w:val="22"/>
        </w:rPr>
        <w:t xml:space="preserve">W </w:t>
      </w:r>
      <w:r w:rsidR="001020DB">
        <w:rPr>
          <w:rFonts w:ascii="Times New Roman" w:hAnsi="Times New Roman" w:cs="Times New Roman"/>
          <w:sz w:val="22"/>
        </w:rPr>
        <w:t xml:space="preserve">Jaszowice – Wacławów – Sławno </w:t>
      </w:r>
    </w:p>
    <w:p w:rsidR="0095108A" w:rsidRPr="007D2CC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95108A" w:rsidRPr="003C77E9" w:rsidRDefault="0095108A" w:rsidP="00635C37">
      <w:pPr>
        <w:pStyle w:val="Nagwek3"/>
        <w:numPr>
          <w:ilvl w:val="0"/>
          <w:numId w:val="5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95108A" w:rsidRPr="00BD1D95" w:rsidRDefault="0095108A" w:rsidP="00635C3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BD1D95">
        <w:rPr>
          <w:b w:val="0"/>
          <w:sz w:val="22"/>
          <w:szCs w:val="22"/>
        </w:rPr>
        <w:t xml:space="preserve">klasa drogi – </w:t>
      </w:r>
      <w:r w:rsidR="001020DB" w:rsidRPr="00BD1D95">
        <w:rPr>
          <w:b w:val="0"/>
          <w:sz w:val="22"/>
          <w:szCs w:val="22"/>
        </w:rPr>
        <w:t>L</w:t>
      </w:r>
    </w:p>
    <w:p w:rsidR="00BF5AD4" w:rsidRPr="00BD1D95" w:rsidRDefault="00BD1D95" w:rsidP="00635C3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BD1D95">
        <w:rPr>
          <w:b w:val="0"/>
          <w:sz w:val="22"/>
          <w:szCs w:val="22"/>
        </w:rPr>
        <w:t>rozbudowa drogi do klasy Z</w:t>
      </w:r>
    </w:p>
    <w:p w:rsidR="0095108A" w:rsidRPr="002C2FC4" w:rsidRDefault="0095108A" w:rsidP="002C2FC4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5108A" w:rsidRPr="00AF28CE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95108A" w:rsidRPr="0056440E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</w:t>
      </w:r>
      <w:r w:rsidR="00D54650">
        <w:rPr>
          <w:rFonts w:ascii="Times New Roman" w:hAnsi="Times New Roman" w:cs="Times New Roman"/>
          <w:sz w:val="22"/>
        </w:rPr>
        <w:t>powiatowej nr 3505W Jaszowice – Wacławów – Sławno</w:t>
      </w:r>
      <w:r w:rsidR="00D54650" w:rsidRPr="003C77E9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przeznaczony do </w:t>
      </w:r>
      <w:r>
        <w:rPr>
          <w:rFonts w:ascii="Times New Roman" w:hAnsi="Times New Roman" w:cs="Times New Roman"/>
          <w:sz w:val="22"/>
        </w:rPr>
        <w:t xml:space="preserve">rozbudowy </w:t>
      </w:r>
      <w:r w:rsidRPr="00BD1D95">
        <w:rPr>
          <w:rFonts w:ascii="Times New Roman" w:hAnsi="Times New Roman" w:cs="Times New Roman"/>
          <w:sz w:val="22"/>
        </w:rPr>
        <w:t xml:space="preserve">wynosi ok. </w:t>
      </w:r>
      <w:r w:rsidR="00215FA9" w:rsidRPr="00BD1D95">
        <w:rPr>
          <w:rFonts w:ascii="Times New Roman" w:hAnsi="Times New Roman" w:cs="Times New Roman"/>
          <w:sz w:val="22"/>
        </w:rPr>
        <w:t xml:space="preserve">4,4 </w:t>
      </w:r>
      <w:r w:rsidRPr="00BD1D95">
        <w:rPr>
          <w:rFonts w:ascii="Times New Roman" w:hAnsi="Times New Roman" w:cs="Times New Roman"/>
          <w:sz w:val="22"/>
        </w:rPr>
        <w:t>km</w:t>
      </w:r>
      <w:r w:rsidR="00D54650">
        <w:rPr>
          <w:rFonts w:ascii="Times New Roman" w:hAnsi="Times New Roman" w:cs="Times New Roman"/>
          <w:sz w:val="22"/>
        </w:rPr>
        <w:t xml:space="preserve"> i</w:t>
      </w:r>
      <w:r w:rsidRPr="003C77E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położony jest na terenie </w:t>
      </w:r>
      <w:r>
        <w:rPr>
          <w:rFonts w:ascii="Times New Roman" w:hAnsi="Times New Roman" w:cs="Times New Roman"/>
          <w:sz w:val="22"/>
        </w:rPr>
        <w:t xml:space="preserve">gminy </w:t>
      </w:r>
      <w:r w:rsidR="002C2FC4">
        <w:rPr>
          <w:rFonts w:ascii="Times New Roman" w:hAnsi="Times New Roman" w:cs="Times New Roman"/>
          <w:sz w:val="22"/>
        </w:rPr>
        <w:t>Wolanów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Pr="00E93C15">
        <w:rPr>
          <w:rFonts w:ascii="Times New Roman" w:hAnsi="Times New Roman" w:cs="Times New Roman"/>
          <w:sz w:val="22"/>
        </w:rPr>
        <w:t xml:space="preserve">od skrzyżowania </w:t>
      </w:r>
      <w:r w:rsidR="00BB2369">
        <w:rPr>
          <w:rFonts w:ascii="Times New Roman" w:hAnsi="Times New Roman" w:cs="Times New Roman"/>
          <w:sz w:val="22"/>
        </w:rPr>
        <w:t xml:space="preserve">    </w:t>
      </w:r>
      <w:bookmarkStart w:id="0" w:name="_GoBack"/>
      <w:bookmarkEnd w:id="0"/>
      <w:r w:rsidRPr="00E93C15">
        <w:rPr>
          <w:rFonts w:ascii="Times New Roman" w:hAnsi="Times New Roman" w:cs="Times New Roman"/>
          <w:sz w:val="22"/>
        </w:rPr>
        <w:t xml:space="preserve">z drogą </w:t>
      </w:r>
      <w:r>
        <w:rPr>
          <w:rFonts w:ascii="Times New Roman" w:hAnsi="Times New Roman" w:cs="Times New Roman"/>
          <w:sz w:val="22"/>
        </w:rPr>
        <w:t>wojewódzką nr 7</w:t>
      </w:r>
      <w:r w:rsidR="00215FA9">
        <w:rPr>
          <w:rFonts w:ascii="Times New Roman" w:hAnsi="Times New Roman" w:cs="Times New Roman"/>
          <w:sz w:val="22"/>
        </w:rPr>
        <w:t>33</w:t>
      </w:r>
      <w:r>
        <w:rPr>
          <w:rFonts w:ascii="Times New Roman" w:hAnsi="Times New Roman" w:cs="Times New Roman"/>
          <w:sz w:val="22"/>
        </w:rPr>
        <w:t xml:space="preserve">, </w:t>
      </w:r>
      <w:r w:rsidRPr="00E93C1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a kończy na </w:t>
      </w:r>
      <w:r w:rsidR="00215FA9">
        <w:rPr>
          <w:rFonts w:ascii="Times New Roman" w:hAnsi="Times New Roman" w:cs="Times New Roman"/>
          <w:sz w:val="22"/>
        </w:rPr>
        <w:t>skrzyżowaniu z drogą krajową nr 12</w:t>
      </w:r>
      <w:r>
        <w:rPr>
          <w:rFonts w:ascii="Times New Roman" w:hAnsi="Times New Roman" w:cs="Times New Roman"/>
          <w:sz w:val="22"/>
        </w:rPr>
        <w:t>.</w:t>
      </w:r>
    </w:p>
    <w:p w:rsidR="00D54650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>Przewidziany do rozbudowy odcinek drogi posiada nawierzchnię bitumiczną</w:t>
      </w:r>
      <w:r w:rsidR="003D479E">
        <w:rPr>
          <w:rFonts w:ascii="Times New Roman" w:hAnsi="Times New Roman" w:cs="Times New Roman"/>
          <w:sz w:val="22"/>
        </w:rPr>
        <w:t xml:space="preserve"> na odcinku ok. 1,6 km </w:t>
      </w:r>
      <w:r w:rsidR="00BB2369">
        <w:rPr>
          <w:rFonts w:ascii="Times New Roman" w:hAnsi="Times New Roman" w:cs="Times New Roman"/>
          <w:sz w:val="22"/>
        </w:rPr>
        <w:t xml:space="preserve">                </w:t>
      </w:r>
      <w:r w:rsidR="003D479E">
        <w:rPr>
          <w:rFonts w:ascii="Times New Roman" w:hAnsi="Times New Roman" w:cs="Times New Roman"/>
          <w:sz w:val="22"/>
        </w:rPr>
        <w:t>o szerokości od</w:t>
      </w:r>
      <w:r>
        <w:rPr>
          <w:rFonts w:ascii="Times New Roman" w:hAnsi="Times New Roman" w:cs="Times New Roman"/>
          <w:sz w:val="22"/>
        </w:rPr>
        <w:t xml:space="preserve"> ok. </w:t>
      </w:r>
      <w:r w:rsidR="003D479E">
        <w:rPr>
          <w:rFonts w:ascii="Times New Roman" w:hAnsi="Times New Roman" w:cs="Times New Roman"/>
          <w:sz w:val="22"/>
        </w:rPr>
        <w:t>5,0</w:t>
      </w:r>
      <w:r>
        <w:rPr>
          <w:rFonts w:ascii="Times New Roman" w:hAnsi="Times New Roman" w:cs="Times New Roman"/>
          <w:sz w:val="22"/>
        </w:rPr>
        <w:t xml:space="preserve"> m do 5,</w:t>
      </w:r>
      <w:r w:rsidR="003D479E">
        <w:rPr>
          <w:rFonts w:ascii="Times New Roman" w:hAnsi="Times New Roman" w:cs="Times New Roman"/>
          <w:sz w:val="22"/>
        </w:rPr>
        <w:t>5</w:t>
      </w:r>
      <w:r>
        <w:rPr>
          <w:rFonts w:ascii="Times New Roman" w:hAnsi="Times New Roman" w:cs="Times New Roman"/>
          <w:sz w:val="22"/>
        </w:rPr>
        <w:t xml:space="preserve"> m</w:t>
      </w:r>
      <w:r w:rsidRPr="00AF5E7F">
        <w:rPr>
          <w:rFonts w:ascii="Times New Roman" w:hAnsi="Times New Roman" w:cs="Times New Roman"/>
          <w:sz w:val="22"/>
        </w:rPr>
        <w:t xml:space="preserve">. </w:t>
      </w:r>
      <w:r w:rsidR="003D479E">
        <w:rPr>
          <w:rFonts w:ascii="Times New Roman" w:hAnsi="Times New Roman" w:cs="Times New Roman"/>
          <w:sz w:val="22"/>
        </w:rPr>
        <w:t xml:space="preserve">Pozostały odcinek drogi długości ok. 2,8 km posiada nawierzchnię betonową o szerokości od 7,0 do 8,0 m. Odwodnienie drogi odbywa się </w:t>
      </w:r>
      <w:r w:rsidR="00D54650">
        <w:rPr>
          <w:rFonts w:ascii="Times New Roman" w:hAnsi="Times New Roman" w:cs="Times New Roman"/>
          <w:sz w:val="22"/>
        </w:rPr>
        <w:t xml:space="preserve">powierzchniowo, bezpośrednio </w:t>
      </w:r>
      <w:r w:rsidR="00ED4B66">
        <w:rPr>
          <w:rFonts w:ascii="Times New Roman" w:hAnsi="Times New Roman" w:cs="Times New Roman"/>
          <w:sz w:val="22"/>
        </w:rPr>
        <w:t>na</w:t>
      </w:r>
      <w:r w:rsidR="00113172">
        <w:rPr>
          <w:rFonts w:ascii="Times New Roman" w:hAnsi="Times New Roman" w:cs="Times New Roman"/>
          <w:sz w:val="22"/>
        </w:rPr>
        <w:t xml:space="preserve"> </w:t>
      </w:r>
      <w:r w:rsidR="00ED4B66">
        <w:rPr>
          <w:rFonts w:ascii="Times New Roman" w:hAnsi="Times New Roman" w:cs="Times New Roman"/>
          <w:sz w:val="22"/>
        </w:rPr>
        <w:t xml:space="preserve">pobocze lub do istniejących szczątkowych rowów przydrożnych. Betonowy odcinek drogi na znacznym odcinku nie posiada rowów odwadniających. </w:t>
      </w:r>
    </w:p>
    <w:p w:rsidR="0095108A" w:rsidRPr="007C1D2D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 sieć energetyczna</w:t>
      </w:r>
      <w:r w:rsidR="003C48D7">
        <w:rPr>
          <w:rFonts w:ascii="Times New Roman" w:hAnsi="Times New Roman" w:cs="Times New Roman"/>
          <w:sz w:val="22"/>
        </w:rPr>
        <w:t xml:space="preserve"> doziemna i </w:t>
      </w:r>
      <w:r>
        <w:rPr>
          <w:rFonts w:ascii="Times New Roman" w:hAnsi="Times New Roman" w:cs="Times New Roman"/>
          <w:sz w:val="22"/>
        </w:rPr>
        <w:t xml:space="preserve"> napowietrzna</w:t>
      </w:r>
      <w:r w:rsidR="003C48D7">
        <w:rPr>
          <w:rFonts w:ascii="Times New Roman" w:hAnsi="Times New Roman" w:cs="Times New Roman"/>
          <w:sz w:val="22"/>
        </w:rPr>
        <w:t xml:space="preserve"> wraz z oświetleniem,</w:t>
      </w:r>
      <w:r>
        <w:rPr>
          <w:rFonts w:ascii="Times New Roman" w:hAnsi="Times New Roman" w:cs="Times New Roman"/>
          <w:sz w:val="22"/>
        </w:rPr>
        <w:t xml:space="preserve"> teletechniczna oraz </w:t>
      </w:r>
      <w:r w:rsidR="003C48D7">
        <w:rPr>
          <w:rFonts w:ascii="Times New Roman" w:hAnsi="Times New Roman" w:cs="Times New Roman"/>
          <w:sz w:val="22"/>
        </w:rPr>
        <w:t xml:space="preserve">sieć wodociągowa </w:t>
      </w:r>
      <w:r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</w:t>
      </w:r>
      <w:r w:rsidR="00BB2369">
        <w:rPr>
          <w:rFonts w:ascii="Times New Roman" w:hAnsi="Times New Roman" w:cs="Times New Roman"/>
          <w:sz w:val="22"/>
        </w:rPr>
        <w:t xml:space="preserve">                                 </w:t>
      </w:r>
      <w:r w:rsidRPr="007C1D2D">
        <w:rPr>
          <w:rFonts w:ascii="Times New Roman" w:hAnsi="Times New Roman" w:cs="Times New Roman"/>
          <w:sz w:val="22"/>
        </w:rPr>
        <w:t xml:space="preserve"> i kartograficznego  w Radomiu).</w:t>
      </w:r>
    </w:p>
    <w:p w:rsidR="00EB2987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 xml:space="preserve">Szerokość pasa drogowego w granicach ewidencyjnych działek drogowych wynosi od ok. </w:t>
      </w:r>
      <w:r w:rsidR="003C48D7">
        <w:rPr>
          <w:rFonts w:ascii="Times New Roman" w:hAnsi="Times New Roman" w:cs="Times New Roman"/>
          <w:sz w:val="22"/>
        </w:rPr>
        <w:t>7,5</w:t>
      </w:r>
      <w:r w:rsidRPr="00326CBD">
        <w:rPr>
          <w:rFonts w:ascii="Times New Roman" w:hAnsi="Times New Roman" w:cs="Times New Roman"/>
          <w:sz w:val="22"/>
        </w:rPr>
        <w:t xml:space="preserve"> m do ok. </w:t>
      </w:r>
      <w:r w:rsidR="003C48D7">
        <w:rPr>
          <w:rFonts w:ascii="Times New Roman" w:hAnsi="Times New Roman" w:cs="Times New Roman"/>
          <w:sz w:val="22"/>
        </w:rPr>
        <w:t>19,5</w:t>
      </w:r>
      <w:r w:rsidRPr="00326CBD">
        <w:rPr>
          <w:rFonts w:ascii="Times New Roman" w:hAnsi="Times New Roman" w:cs="Times New Roman"/>
          <w:sz w:val="22"/>
        </w:rPr>
        <w:t xml:space="preserve"> m. </w:t>
      </w:r>
      <w:r w:rsidR="00EB2987">
        <w:rPr>
          <w:rFonts w:ascii="Times New Roman" w:hAnsi="Times New Roman" w:cs="Times New Roman"/>
          <w:sz w:val="22"/>
        </w:rPr>
        <w:t>Przy czym szerokość pasa drogowego wynosząca od 7,5 do 9,0 m występuje na odcinku długości ok. 1,5 km.</w:t>
      </w:r>
    </w:p>
    <w:p w:rsidR="0095108A" w:rsidRPr="004A1B98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>Ze</w:t>
      </w:r>
      <w:r>
        <w:rPr>
          <w:rFonts w:ascii="Times New Roman" w:hAnsi="Times New Roman" w:cs="Times New Roman"/>
          <w:sz w:val="22"/>
        </w:rPr>
        <w:t xml:space="preserve"> względu na miejscowe zawężenia pasa drogowego, w celu  zlokalizowania wszystkich niezbędnych elementów drogi, </w:t>
      </w:r>
      <w:r w:rsidR="00D54650">
        <w:rPr>
          <w:rFonts w:ascii="Times New Roman" w:hAnsi="Times New Roman" w:cs="Times New Roman"/>
          <w:sz w:val="22"/>
        </w:rPr>
        <w:t xml:space="preserve">wystąpi </w:t>
      </w:r>
      <w:r>
        <w:rPr>
          <w:rFonts w:ascii="Times New Roman" w:hAnsi="Times New Roman" w:cs="Times New Roman"/>
          <w:sz w:val="22"/>
        </w:rPr>
        <w:t xml:space="preserve"> konieczność podziału części działek przylegających do pasa drogowego</w:t>
      </w:r>
      <w:r w:rsidR="00BD1D95">
        <w:rPr>
          <w:rFonts w:ascii="Times New Roman" w:hAnsi="Times New Roman" w:cs="Times New Roman"/>
          <w:sz w:val="22"/>
        </w:rPr>
        <w:t>. Ilość wszystkich działek zlokalizowanych wzdłuż przedmiotowego odcinka drogi wynosi ok. 250 szt.</w:t>
      </w:r>
      <w:r w:rsidR="004A5143">
        <w:rPr>
          <w:rFonts w:ascii="Times New Roman" w:hAnsi="Times New Roman" w:cs="Times New Roman"/>
          <w:sz w:val="22"/>
        </w:rPr>
        <w:t>, przy czym wzdłuż odcinka, na którym występuje pas drogowy szer. od 7,5 m do 9,0 m zlokalizowanych jest ok. 130 działek.</w:t>
      </w:r>
    </w:p>
    <w:p w:rsidR="004A1B98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</w:p>
    <w:p w:rsidR="0097379B" w:rsidRPr="003C77E9" w:rsidRDefault="0097379B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4A5143" w:rsidRDefault="004A5143" w:rsidP="00635C37">
      <w:pPr>
        <w:pStyle w:val="Akapitzlist"/>
        <w:numPr>
          <w:ilvl w:val="0"/>
          <w:numId w:val="26"/>
        </w:numPr>
        <w:spacing w:after="0" w:line="259" w:lineRule="auto"/>
        <w:ind w:right="427"/>
        <w:rPr>
          <w:rFonts w:ascii="Times New Roman" w:hAnsi="Times New Roman"/>
        </w:rPr>
      </w:pPr>
      <w:r w:rsidRPr="009769F3">
        <w:rPr>
          <w:rFonts w:ascii="Times New Roman" w:hAnsi="Times New Roman"/>
        </w:rPr>
        <w:t xml:space="preserve">W/w projekt nie </w:t>
      </w:r>
      <w:r w:rsidRPr="000D790C">
        <w:rPr>
          <w:rFonts w:ascii="Times New Roman" w:hAnsi="Times New Roman"/>
          <w:sz w:val="22"/>
        </w:rPr>
        <w:t>obejmuje</w:t>
      </w:r>
      <w:r w:rsidRPr="009769F3">
        <w:rPr>
          <w:rFonts w:ascii="Times New Roman" w:hAnsi="Times New Roman"/>
        </w:rPr>
        <w:t xml:space="preserve">  zaprojektowania kanału technologicznego, ponieważ </w:t>
      </w:r>
      <w:r w:rsidR="00BB2369">
        <w:rPr>
          <w:rFonts w:ascii="Times New Roman" w:hAnsi="Times New Roman"/>
        </w:rPr>
        <w:t xml:space="preserve">                                 </w:t>
      </w:r>
      <w:r w:rsidRPr="009769F3">
        <w:rPr>
          <w:rFonts w:ascii="Times New Roman" w:hAnsi="Times New Roman"/>
        </w:rPr>
        <w:t xml:space="preserve">w odpowiedzi na ogłoszenia umieszczone  na stronie Urzędu Komunikacji Elektronicznej oraz w Biuletynie Informacji </w:t>
      </w:r>
      <w:r>
        <w:rPr>
          <w:rFonts w:ascii="Times New Roman" w:hAnsi="Times New Roman"/>
        </w:rPr>
        <w:t xml:space="preserve">Publicznej </w:t>
      </w:r>
      <w:r w:rsidRPr="009769F3">
        <w:rPr>
          <w:rFonts w:ascii="Times New Roman" w:hAnsi="Times New Roman"/>
        </w:rPr>
        <w:t xml:space="preserve">w wyznaczonym terminie nie zgłosił się żaden  podmiot zainteresowany  udostępnieniem takiego kanału. </w:t>
      </w:r>
    </w:p>
    <w:p w:rsidR="000F0598" w:rsidRDefault="004A5143" w:rsidP="000F0598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4A5143" w:rsidRDefault="004A5143" w:rsidP="00635C37">
      <w:pPr>
        <w:pStyle w:val="Akapitzlist"/>
        <w:numPr>
          <w:ilvl w:val="0"/>
          <w:numId w:val="2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 przedmiotowym odcinku drogi w 2017 r. uregulowany został stan prawny pasa drogowego</w:t>
      </w:r>
      <w:r w:rsidRPr="00326CBD">
        <w:rPr>
          <w:rFonts w:ascii="Times New Roman" w:hAnsi="Times New Roman"/>
          <w:sz w:val="22"/>
        </w:rPr>
        <w:t xml:space="preserve"> w trybie art. 73 </w:t>
      </w:r>
      <w:r w:rsidRPr="00D05B9B">
        <w:rPr>
          <w:rFonts w:ascii="Times New Roman" w:hAnsi="Times New Roman"/>
          <w:sz w:val="22"/>
        </w:rPr>
        <w:t xml:space="preserve">ustawy z dnia 13 października 1998 roku — przepisy wprowadzające ustawy reformujące administracje publiczną ( Dz. U. Nr 133, poz. 872 z </w:t>
      </w:r>
      <w:proofErr w:type="spellStart"/>
      <w:r w:rsidRPr="00D05B9B">
        <w:rPr>
          <w:rFonts w:ascii="Times New Roman" w:hAnsi="Times New Roman"/>
          <w:sz w:val="22"/>
        </w:rPr>
        <w:t>późn</w:t>
      </w:r>
      <w:proofErr w:type="spellEnd"/>
      <w:r w:rsidRPr="00D05B9B">
        <w:rPr>
          <w:rFonts w:ascii="Times New Roman" w:hAnsi="Times New Roman"/>
          <w:sz w:val="22"/>
        </w:rPr>
        <w:t>. zm.).</w:t>
      </w:r>
      <w:r>
        <w:rPr>
          <w:rFonts w:ascii="Times New Roman" w:hAnsi="Times New Roman"/>
          <w:sz w:val="22"/>
        </w:rPr>
        <w:t xml:space="preserve">  </w:t>
      </w:r>
    </w:p>
    <w:p w:rsidR="004A5143" w:rsidRDefault="004A5143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</w:t>
      </w:r>
      <w:r w:rsidR="00BB2369">
        <w:rPr>
          <w:rFonts w:ascii="Times New Roman" w:hAnsi="Times New Roman" w:cs="Times New Roman"/>
          <w:sz w:val="22"/>
        </w:rPr>
        <w:t xml:space="preserve">              </w:t>
      </w:r>
      <w:r>
        <w:rPr>
          <w:rFonts w:ascii="Times New Roman" w:hAnsi="Times New Roman" w:cs="Times New Roman"/>
          <w:sz w:val="22"/>
        </w:rPr>
        <w:t xml:space="preserve">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A3700B" w:rsidRDefault="00A3700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3700B" w:rsidRPr="00F76A4B" w:rsidRDefault="00A3700B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F76A4B">
        <w:rPr>
          <w:rFonts w:ascii="Times New Roman" w:hAnsi="Times New Roman" w:cs="Times New Roman"/>
          <w:b/>
          <w:sz w:val="22"/>
        </w:rPr>
        <w:t>Wykaz stron</w:t>
      </w:r>
      <w:r w:rsidRPr="00F76A4B">
        <w:rPr>
          <w:rFonts w:ascii="Times New Roman" w:hAnsi="Times New Roman" w:cs="Times New Roman"/>
          <w:sz w:val="22"/>
        </w:rPr>
        <w:t xml:space="preserve">  (2 egz.).</w:t>
      </w:r>
    </w:p>
    <w:p w:rsidR="00A3700B" w:rsidRPr="00F76A4B" w:rsidRDefault="00A3700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F76A4B">
        <w:rPr>
          <w:rFonts w:ascii="Times New Roman" w:hAnsi="Times New Roman" w:cs="Times New Roman"/>
          <w:sz w:val="22"/>
        </w:rPr>
        <w:t xml:space="preserve">Wykaz stron postępowania </w:t>
      </w:r>
      <w:r w:rsidR="00AD7FA5" w:rsidRPr="00F76A4B">
        <w:rPr>
          <w:rFonts w:ascii="Times New Roman" w:hAnsi="Times New Roman" w:cs="Times New Roman"/>
          <w:sz w:val="22"/>
        </w:rPr>
        <w:t>(</w:t>
      </w:r>
      <w:r w:rsidRPr="00F76A4B">
        <w:rPr>
          <w:rFonts w:ascii="Times New Roman" w:hAnsi="Times New Roman" w:cs="Times New Roman"/>
          <w:sz w:val="22"/>
        </w:rPr>
        <w:t>opracowany w oparciu o mapę z projektem podziału</w:t>
      </w:r>
      <w:r w:rsidR="00AD7FA5" w:rsidRPr="00F76A4B">
        <w:rPr>
          <w:rFonts w:ascii="Times New Roman" w:hAnsi="Times New Roman" w:cs="Times New Roman"/>
          <w:sz w:val="22"/>
        </w:rPr>
        <w:t xml:space="preserve"> oraz dane pozyskane z ewidencji gruntów)</w:t>
      </w:r>
      <w:r w:rsidRPr="00F76A4B">
        <w:rPr>
          <w:rFonts w:ascii="Times New Roman" w:hAnsi="Times New Roman" w:cs="Times New Roman"/>
          <w:sz w:val="22"/>
        </w:rPr>
        <w:t xml:space="preserve"> niezbędny do przekazania organowi </w:t>
      </w:r>
      <w:proofErr w:type="spellStart"/>
      <w:r w:rsidRPr="00F76A4B">
        <w:rPr>
          <w:rFonts w:ascii="Times New Roman" w:hAnsi="Times New Roman" w:cs="Times New Roman"/>
          <w:sz w:val="22"/>
        </w:rPr>
        <w:t>architektoniczno</w:t>
      </w:r>
      <w:proofErr w:type="spellEnd"/>
      <w:r w:rsidRPr="00F76A4B">
        <w:rPr>
          <w:rFonts w:ascii="Times New Roman" w:hAnsi="Times New Roman" w:cs="Times New Roman"/>
          <w:sz w:val="22"/>
        </w:rPr>
        <w:t xml:space="preserve"> – budowlanemu na etapie składania wniosku o wydanie decyzji ZRID.</w:t>
      </w:r>
    </w:p>
    <w:p w:rsidR="00A3700B" w:rsidRPr="00F76A4B" w:rsidRDefault="00A3700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3700B" w:rsidRPr="00F76A4B" w:rsidRDefault="00A3700B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F76A4B">
        <w:rPr>
          <w:rFonts w:ascii="Times New Roman" w:hAnsi="Times New Roman" w:cs="Times New Roman"/>
          <w:b/>
          <w:sz w:val="22"/>
        </w:rPr>
        <w:t xml:space="preserve">Wykaz elementów wymagających rozbiórki  </w:t>
      </w:r>
      <w:r w:rsidR="00AD7FA5" w:rsidRPr="00F76A4B">
        <w:rPr>
          <w:rFonts w:ascii="Times New Roman" w:hAnsi="Times New Roman" w:cs="Times New Roman"/>
          <w:b/>
          <w:sz w:val="22"/>
        </w:rPr>
        <w:t>lub przestawienia</w:t>
      </w:r>
      <w:r w:rsidR="00AD7FA5" w:rsidRPr="00F76A4B">
        <w:rPr>
          <w:rFonts w:ascii="Times New Roman" w:hAnsi="Times New Roman" w:cs="Times New Roman"/>
          <w:sz w:val="22"/>
        </w:rPr>
        <w:t xml:space="preserve"> </w:t>
      </w:r>
      <w:r w:rsidRPr="00F76A4B">
        <w:rPr>
          <w:rFonts w:ascii="Times New Roman" w:hAnsi="Times New Roman" w:cs="Times New Roman"/>
          <w:sz w:val="22"/>
        </w:rPr>
        <w:t>(2 egz.).</w:t>
      </w:r>
    </w:p>
    <w:p w:rsidR="00A3700B" w:rsidRDefault="00A3700B" w:rsidP="00A3700B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F76A4B">
        <w:rPr>
          <w:rFonts w:ascii="Times New Roman" w:hAnsi="Times New Roman" w:cs="Times New Roman"/>
          <w:sz w:val="22"/>
        </w:rPr>
        <w:t xml:space="preserve">Wykaz winien zawierać elementy niezbędne do rozebrania </w:t>
      </w:r>
      <w:r w:rsidR="00AD7FA5" w:rsidRPr="00F76A4B">
        <w:rPr>
          <w:rFonts w:ascii="Times New Roman" w:hAnsi="Times New Roman" w:cs="Times New Roman"/>
          <w:sz w:val="22"/>
        </w:rPr>
        <w:t xml:space="preserve">w związku z rozbudową drogi, </w:t>
      </w:r>
      <w:r w:rsidR="00AD5629" w:rsidRPr="00F76A4B">
        <w:rPr>
          <w:rFonts w:ascii="Times New Roman" w:hAnsi="Times New Roman" w:cs="Times New Roman"/>
          <w:sz w:val="22"/>
        </w:rPr>
        <w:t>typu</w:t>
      </w:r>
      <w:r w:rsidR="00AD7FA5" w:rsidRPr="00F76A4B">
        <w:rPr>
          <w:rFonts w:ascii="Times New Roman" w:hAnsi="Times New Roman" w:cs="Times New Roman"/>
          <w:sz w:val="22"/>
        </w:rPr>
        <w:t>: ogrodzenia</w:t>
      </w:r>
      <w:r w:rsidR="00AD5629" w:rsidRPr="00F76A4B">
        <w:rPr>
          <w:rFonts w:ascii="Times New Roman" w:hAnsi="Times New Roman" w:cs="Times New Roman"/>
          <w:sz w:val="22"/>
        </w:rPr>
        <w:t>(z podaniem długości ogrodzenia podlegającemu rozbiórce oraz materiału, z którego są wykonane), obiekty małej architektury</w:t>
      </w:r>
      <w:r w:rsidR="00AD7FA5" w:rsidRPr="00F76A4B">
        <w:rPr>
          <w:rFonts w:ascii="Times New Roman" w:hAnsi="Times New Roman" w:cs="Times New Roman"/>
          <w:sz w:val="22"/>
        </w:rPr>
        <w:t xml:space="preserve"> </w:t>
      </w:r>
      <w:r w:rsidR="004F2F65" w:rsidRPr="00F76A4B">
        <w:rPr>
          <w:rFonts w:ascii="Times New Roman" w:hAnsi="Times New Roman" w:cs="Times New Roman"/>
          <w:sz w:val="22"/>
        </w:rPr>
        <w:t xml:space="preserve"> oraz </w:t>
      </w:r>
      <w:r w:rsidR="00AD7FA5" w:rsidRPr="00F76A4B">
        <w:rPr>
          <w:rFonts w:ascii="Times New Roman" w:hAnsi="Times New Roman" w:cs="Times New Roman"/>
          <w:sz w:val="22"/>
        </w:rPr>
        <w:t>inne elementy zagospodarowania działek przyległych.</w:t>
      </w:r>
      <w:r w:rsidR="00AD7FA5">
        <w:rPr>
          <w:rFonts w:ascii="Times New Roman" w:hAnsi="Times New Roman" w:cs="Times New Roman"/>
          <w:sz w:val="22"/>
        </w:rPr>
        <w:t xml:space="preserve"> 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635C37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8956C9">
      <w:pPr>
        <w:spacing w:after="0" w:line="249" w:lineRule="auto"/>
        <w:ind w:left="0" w:right="427" w:firstLine="0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635C37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</w:t>
      </w:r>
      <w:r w:rsidR="00BB2369">
        <w:rPr>
          <w:rFonts w:ascii="Times New Roman" w:hAnsi="Times New Roman" w:cs="Times New Roman"/>
          <w:sz w:val="22"/>
        </w:rPr>
        <w:t xml:space="preserve">                   </w:t>
      </w:r>
      <w:r w:rsidRPr="00AF28CE">
        <w:rPr>
          <w:rFonts w:ascii="Times New Roman" w:hAnsi="Times New Roman" w:cs="Times New Roman"/>
          <w:sz w:val="22"/>
        </w:rPr>
        <w:t>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F76A4B" w:rsidRDefault="00F76A4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F76A4B" w:rsidRDefault="00F76A4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(po </w:t>
      </w:r>
      <w:r w:rsidR="00BB2369">
        <w:rPr>
          <w:rFonts w:ascii="Times New Roman" w:hAnsi="Times New Roman" w:cs="Times New Roman"/>
          <w:sz w:val="22"/>
        </w:rPr>
        <w:t xml:space="preserve">uzgodnieniu </w:t>
      </w:r>
      <w:r>
        <w:rPr>
          <w:rFonts w:ascii="Times New Roman" w:hAnsi="Times New Roman" w:cs="Times New Roman"/>
          <w:sz w:val="22"/>
        </w:rPr>
        <w:t xml:space="preserve">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</w:t>
      </w:r>
      <w:r w:rsidR="00BB2369">
        <w:rPr>
          <w:rFonts w:ascii="Times New Roman" w:hAnsi="Times New Roman" w:cs="Times New Roman"/>
          <w:sz w:val="22"/>
        </w:rPr>
        <w:t xml:space="preserve">                    </w:t>
      </w:r>
      <w:r w:rsidRPr="00710905">
        <w:rPr>
          <w:rFonts w:ascii="Times New Roman" w:hAnsi="Times New Roman" w:cs="Times New Roman"/>
          <w:sz w:val="22"/>
        </w:rPr>
        <w:t xml:space="preserve"> i nasypów,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F76A4B" w:rsidRDefault="00F76A4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F76A4B" w:rsidRDefault="00F76A4B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lastRenderedPageBreak/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4F2F65">
        <w:rPr>
          <w:rFonts w:ascii="Times New Roman" w:hAnsi="Times New Roman" w:cs="Times New Roman"/>
          <w:b/>
          <w:sz w:val="22"/>
          <w:u w:val="single"/>
        </w:rPr>
        <w:t>Do zadań Jednostki projektowej należy również uzyskanie zgody wodnoprawnej</w:t>
      </w:r>
      <w:r w:rsidR="00D410CC" w:rsidRPr="00D410CC">
        <w:rPr>
          <w:rFonts w:ascii="Times New Roman" w:hAnsi="Times New Roman" w:cs="Times New Roman"/>
          <w:sz w:val="22"/>
        </w:rPr>
        <w:t xml:space="preserve">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7379B" w:rsidRDefault="0097379B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4F2F65" w:rsidRPr="003C77E9" w:rsidRDefault="004F2F65" w:rsidP="004F2F65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76A4B">
        <w:rPr>
          <w:rFonts w:ascii="Times New Roman" w:hAnsi="Times New Roman" w:cs="Times New Roman"/>
          <w:sz w:val="22"/>
        </w:rPr>
        <w:t xml:space="preserve">Opracowanie winno zawierać wyliczenie konstrukcji nawierzchni </w:t>
      </w:r>
      <w:r w:rsidR="004732B7" w:rsidRPr="00F76A4B">
        <w:rPr>
          <w:rFonts w:ascii="Times New Roman" w:hAnsi="Times New Roman" w:cs="Times New Roman"/>
          <w:sz w:val="22"/>
        </w:rPr>
        <w:t>wraz z</w:t>
      </w:r>
      <w:r w:rsidRPr="00F76A4B">
        <w:rPr>
          <w:rFonts w:ascii="Times New Roman" w:hAnsi="Times New Roman" w:cs="Times New Roman"/>
          <w:sz w:val="22"/>
        </w:rPr>
        <w:t xml:space="preserve"> wyjaśnie</w:t>
      </w:r>
      <w:r w:rsidR="004732B7" w:rsidRPr="00F76A4B">
        <w:rPr>
          <w:rFonts w:ascii="Times New Roman" w:hAnsi="Times New Roman" w:cs="Times New Roman"/>
          <w:sz w:val="22"/>
        </w:rPr>
        <w:t>niem</w:t>
      </w:r>
      <w:r w:rsidRPr="00F76A4B">
        <w:rPr>
          <w:rFonts w:ascii="Times New Roman" w:hAnsi="Times New Roman" w:cs="Times New Roman"/>
          <w:sz w:val="22"/>
        </w:rPr>
        <w:t xml:space="preserve"> w oparciu</w:t>
      </w:r>
      <w:r w:rsidR="00BB2369">
        <w:rPr>
          <w:rFonts w:ascii="Times New Roman" w:hAnsi="Times New Roman" w:cs="Times New Roman"/>
          <w:sz w:val="22"/>
        </w:rPr>
        <w:t xml:space="preserve">                      </w:t>
      </w:r>
      <w:r w:rsidRPr="00F76A4B">
        <w:rPr>
          <w:rFonts w:ascii="Times New Roman" w:hAnsi="Times New Roman" w:cs="Times New Roman"/>
          <w:sz w:val="22"/>
        </w:rPr>
        <w:t xml:space="preserve"> o jakie</w:t>
      </w:r>
      <w:r w:rsidR="004732B7" w:rsidRPr="00F76A4B">
        <w:rPr>
          <w:rFonts w:ascii="Times New Roman" w:hAnsi="Times New Roman" w:cs="Times New Roman"/>
          <w:sz w:val="22"/>
        </w:rPr>
        <w:t xml:space="preserve"> przepisy (wytyczne) </w:t>
      </w:r>
      <w:r w:rsidR="00AD5629" w:rsidRPr="00F76A4B">
        <w:rPr>
          <w:rFonts w:ascii="Times New Roman" w:hAnsi="Times New Roman" w:cs="Times New Roman"/>
          <w:sz w:val="22"/>
        </w:rPr>
        <w:t>obliczenia zostały wykonane</w:t>
      </w:r>
      <w:r w:rsidR="004732B7" w:rsidRPr="00F76A4B"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</w:t>
      </w:r>
      <w:r w:rsidR="004732B7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lastRenderedPageBreak/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</w:t>
      </w:r>
      <w:r w:rsidR="00BB2369">
        <w:rPr>
          <w:rFonts w:ascii="Times New Roman" w:hAnsi="Times New Roman" w:cs="Times New Roman"/>
          <w:sz w:val="22"/>
        </w:rPr>
        <w:t xml:space="preserve">                       </w:t>
      </w:r>
      <w:r>
        <w:rPr>
          <w:rFonts w:ascii="Times New Roman" w:hAnsi="Times New Roman" w:cs="Times New Roman"/>
          <w:sz w:val="22"/>
        </w:rPr>
        <w:t xml:space="preserve">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="00BB2369">
        <w:rPr>
          <w:rFonts w:ascii="Times New Roman" w:hAnsi="Times New Roman" w:cs="Times New Roman"/>
          <w:sz w:val="22"/>
        </w:rPr>
        <w:t xml:space="preserve"> -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Specyfikacje techniczne wykonania i odbioru robót bud</w:t>
      </w:r>
      <w:r w:rsidR="00BB2369">
        <w:rPr>
          <w:rFonts w:ascii="Times New Roman" w:hAnsi="Times New Roman" w:cs="Times New Roman"/>
          <w:sz w:val="22"/>
        </w:rPr>
        <w:t xml:space="preserve">owlanych należy wykonać zgodnie                                     </w:t>
      </w:r>
      <w:r>
        <w:rPr>
          <w:rFonts w:ascii="Times New Roman" w:hAnsi="Times New Roman" w:cs="Times New Roman"/>
          <w:sz w:val="22"/>
        </w:rPr>
        <w:t>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211133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sz w:val="22"/>
        </w:rPr>
        <w:t xml:space="preserve">Przedmiar robót winien zawierać szczegółowe zestawienia robót planowanych do wykonania umożliwiający </w:t>
      </w:r>
      <w:r w:rsidRPr="00F76A4B">
        <w:rPr>
          <w:rFonts w:ascii="Times New Roman" w:hAnsi="Times New Roman" w:cs="Times New Roman"/>
          <w:sz w:val="22"/>
        </w:rPr>
        <w:t>opracowanie</w:t>
      </w:r>
      <w:r w:rsidR="00326019" w:rsidRPr="00F76A4B">
        <w:rPr>
          <w:rFonts w:ascii="Times New Roman" w:hAnsi="Times New Roman" w:cs="Times New Roman"/>
          <w:sz w:val="22"/>
        </w:rPr>
        <w:t xml:space="preserve"> </w:t>
      </w:r>
      <w:r w:rsidRPr="00F76A4B">
        <w:rPr>
          <w:rFonts w:ascii="Times New Roman" w:hAnsi="Times New Roman" w:cs="Times New Roman"/>
          <w:sz w:val="22"/>
        </w:rPr>
        <w:t xml:space="preserve"> kosztorysów </w:t>
      </w:r>
      <w:r w:rsidR="00326019" w:rsidRPr="00F76A4B">
        <w:rPr>
          <w:rFonts w:ascii="Times New Roman" w:hAnsi="Times New Roman" w:cs="Times New Roman"/>
          <w:sz w:val="22"/>
        </w:rPr>
        <w:t xml:space="preserve"> dla wybranych odcinków dróg </w:t>
      </w:r>
      <w:r w:rsidRPr="00F76A4B">
        <w:rPr>
          <w:rFonts w:ascii="Times New Roman" w:hAnsi="Times New Roman" w:cs="Times New Roman"/>
          <w:sz w:val="22"/>
        </w:rPr>
        <w:t>w przypadku etapowej realizacji inwestycji</w:t>
      </w:r>
      <w:r w:rsidR="00681DA6" w:rsidRPr="00F76A4B">
        <w:rPr>
          <w:rFonts w:ascii="Times New Roman" w:hAnsi="Times New Roman" w:cs="Times New Roman"/>
          <w:sz w:val="22"/>
        </w:rPr>
        <w:t>, w tym</w:t>
      </w:r>
      <w:r w:rsidR="008956C9" w:rsidRPr="00F76A4B">
        <w:rPr>
          <w:rFonts w:ascii="Times New Roman" w:hAnsi="Times New Roman" w:cs="Times New Roman"/>
          <w:sz w:val="22"/>
        </w:rPr>
        <w:t xml:space="preserve"> przede wszystkim</w:t>
      </w:r>
      <w:r w:rsidR="00681DA6" w:rsidRPr="00F76A4B">
        <w:rPr>
          <w:rFonts w:ascii="Times New Roman" w:hAnsi="Times New Roman" w:cs="Times New Roman"/>
          <w:sz w:val="22"/>
        </w:rPr>
        <w:t xml:space="preserve"> </w:t>
      </w:r>
      <w:r w:rsidR="00681DA6" w:rsidRPr="00F76A4B">
        <w:rPr>
          <w:rFonts w:ascii="Times New Roman" w:hAnsi="Times New Roman" w:cs="Times New Roman"/>
          <w:b/>
          <w:sz w:val="22"/>
          <w:u w:val="single"/>
        </w:rPr>
        <w:t>tabel</w:t>
      </w:r>
      <w:r w:rsidR="00211133" w:rsidRPr="00F76A4B">
        <w:rPr>
          <w:rFonts w:ascii="Times New Roman" w:hAnsi="Times New Roman" w:cs="Times New Roman"/>
          <w:b/>
          <w:sz w:val="22"/>
          <w:u w:val="single"/>
        </w:rPr>
        <w:t>ę</w:t>
      </w:r>
      <w:r w:rsidR="00681DA6" w:rsidRPr="00F76A4B">
        <w:rPr>
          <w:rFonts w:ascii="Times New Roman" w:hAnsi="Times New Roman" w:cs="Times New Roman"/>
          <w:b/>
          <w:sz w:val="22"/>
          <w:u w:val="single"/>
        </w:rPr>
        <w:t xml:space="preserve"> robót ziemnych, tabelę </w:t>
      </w:r>
      <w:proofErr w:type="spellStart"/>
      <w:r w:rsidR="00681DA6" w:rsidRPr="00F76A4B">
        <w:rPr>
          <w:rFonts w:ascii="Times New Roman" w:hAnsi="Times New Roman" w:cs="Times New Roman"/>
          <w:b/>
          <w:sz w:val="22"/>
          <w:u w:val="single"/>
        </w:rPr>
        <w:t>wyrównań</w:t>
      </w:r>
      <w:proofErr w:type="spellEnd"/>
      <w:r w:rsidR="00681DA6" w:rsidRPr="00F76A4B">
        <w:rPr>
          <w:rFonts w:ascii="Times New Roman" w:hAnsi="Times New Roman" w:cs="Times New Roman"/>
          <w:b/>
          <w:sz w:val="22"/>
          <w:u w:val="single"/>
        </w:rPr>
        <w:t xml:space="preserve">, </w:t>
      </w:r>
      <w:r w:rsidR="00211133" w:rsidRPr="00F76A4B">
        <w:rPr>
          <w:rFonts w:ascii="Times New Roman" w:hAnsi="Times New Roman" w:cs="Times New Roman"/>
          <w:b/>
          <w:sz w:val="22"/>
          <w:u w:val="single"/>
        </w:rPr>
        <w:t>tabelę poszerzeń, tabelę rozbiórek lub plan rozbiórek sporządzony na mapie do celów projektowych w oparciu o projektowany plan zagospodarowania terenu.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603446" w:rsidRPr="00F76A4B" w:rsidRDefault="0096237D" w:rsidP="00F76A4B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E31253">
        <w:rPr>
          <w:rFonts w:ascii="Times New Roman" w:hAnsi="Times New Roman"/>
          <w:sz w:val="22"/>
        </w:rPr>
        <w:t>.</w:t>
      </w:r>
      <w:r w:rsidR="00C41286">
        <w:rPr>
          <w:rFonts w:ascii="Times New Roman" w:hAnsi="Times New Roman"/>
          <w:sz w:val="22"/>
        </w:rPr>
        <w:t xml:space="preserve"> 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>do 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 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</w:p>
    <w:p w:rsidR="0096237D" w:rsidRPr="00496D46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Poprawienia dokumentacji w trakcie realizacji robót budowlanych oraz wykonania niezbędnych czynności (np. określonych robót, prac, usług) bez prawa do dodatkowego wynagrodzenia,               </w:t>
      </w:r>
      <w:r w:rsidR="00BB2369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w przypadku, gdy Wykonawca nie ujmie w opracowanej dokumentacji wszystkich elementów  </w:t>
      </w:r>
      <w:r w:rsidR="00BB2369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635C37">
      <w:pPr>
        <w:pStyle w:val="SZDWNormalny"/>
        <w:numPr>
          <w:ilvl w:val="0"/>
          <w:numId w:val="7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</w:t>
      </w:r>
      <w:r w:rsidR="00BB2369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z art. 29-30 ustawy [17], tj. za pomocą parametrów technicznych bez podawania ich nazw, patentów lub pochodzenia. </w:t>
      </w:r>
    </w:p>
    <w:p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</w:t>
      </w:r>
      <w:r w:rsidR="00BB2369">
        <w:rPr>
          <w:sz w:val="22"/>
        </w:rPr>
        <w:t xml:space="preserve">                    </w:t>
      </w:r>
      <w:r>
        <w:rPr>
          <w:sz w:val="22"/>
        </w:rPr>
        <w:t xml:space="preserve"> </w:t>
      </w:r>
      <w:r w:rsidRPr="009F7473">
        <w:rPr>
          <w:sz w:val="22"/>
        </w:rPr>
        <w:t>w jednym egzemplarzu.</w:t>
      </w:r>
    </w:p>
    <w:p w:rsid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*.jpg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:rsidR="0096237D" w:rsidRP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*.pdf</w:t>
      </w:r>
    </w:p>
    <w:p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*.xls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*.pdf</w:t>
      </w:r>
    </w:p>
    <w:p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 xml:space="preserve">, w których winien wziąć udział wskazany            </w:t>
      </w:r>
      <w:r w:rsidR="00BB236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prezentacja przez Wykonawcę sprawozdania z bieżącego postępu prac projektowych </w:t>
      </w:r>
      <w:r w:rsidR="00BB2369">
        <w:rPr>
          <w:rFonts w:ascii="Times New Roman" w:hAnsi="Times New Roman" w:cs="Times New Roman"/>
          <w:sz w:val="22"/>
        </w:rPr>
        <w:t xml:space="preserve">                                  </w:t>
      </w:r>
      <w:r w:rsidRPr="00890382">
        <w:rPr>
          <w:rFonts w:ascii="Times New Roman" w:hAnsi="Times New Roman" w:cs="Times New Roman"/>
          <w:sz w:val="22"/>
        </w:rPr>
        <w:t>(w tym omówienie zagadnień związanych z koordynacją dokumentacji projektowej),</w:t>
      </w:r>
    </w:p>
    <w:p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lastRenderedPageBreak/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635C37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635C37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E31253" w:rsidRDefault="00E31253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E31253" w:rsidRDefault="00E31253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F76A4B" w:rsidRDefault="00F76A4B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[3] Rozporządzenie Ministra Transportu i Gospodarki Morskiej z dnia 02.03.1999 r. w sprawie warunków technicznych, jakim powinny odpowiadać drogi publiczne i ich usytuowanie (Dz. U. </w:t>
      </w:r>
      <w:r w:rsidR="00BB2369">
        <w:rPr>
          <w:rFonts w:ascii="Times New Roman" w:hAnsi="Times New Roman" w:cs="Times New Roman"/>
          <w:sz w:val="22"/>
        </w:rPr>
        <w:t xml:space="preserve">                 </w:t>
      </w:r>
      <w:r w:rsidRPr="00EE1665">
        <w:rPr>
          <w:rFonts w:ascii="Times New Roman" w:hAnsi="Times New Roman" w:cs="Times New Roman"/>
          <w:sz w:val="22"/>
        </w:rPr>
        <w:t>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 w:rsidR="00D410CC"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[10] Ustawa z dnia 16.04.2004r. o ochronie przyrody (Dz.U.2016 poz.2134 tekst jednolity </w:t>
      </w:r>
      <w:r w:rsidR="00BB2369">
        <w:rPr>
          <w:rFonts w:ascii="Times New Roman" w:hAnsi="Times New Roman" w:cs="Times New Roman"/>
          <w:sz w:val="22"/>
        </w:rPr>
        <w:t xml:space="preserve">                                     </w:t>
      </w:r>
      <w:r w:rsidRPr="00EE1665">
        <w:rPr>
          <w:rFonts w:ascii="Times New Roman" w:hAnsi="Times New Roman" w:cs="Times New Roman"/>
          <w:sz w:val="22"/>
        </w:rPr>
        <w:t>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</w:t>
      </w:r>
      <w:r w:rsidR="00BB2369">
        <w:rPr>
          <w:rFonts w:ascii="Times New Roman" w:hAnsi="Times New Roman" w:cs="Times New Roman"/>
          <w:sz w:val="22"/>
        </w:rPr>
        <w:t xml:space="preserve">               </w:t>
      </w:r>
      <w:r w:rsidRPr="00EE1665">
        <w:rPr>
          <w:rFonts w:ascii="Times New Roman" w:hAnsi="Times New Roman" w:cs="Times New Roman"/>
          <w:sz w:val="22"/>
        </w:rPr>
        <w:t xml:space="preserve">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[13] Ustawa z dnia 21.08.1997 r. o gospodarce nieruchomościami (Dz. U. z 2016 r., poz. 2147,              </w:t>
      </w:r>
      <w:r w:rsidR="00BB2369">
        <w:rPr>
          <w:rFonts w:ascii="Times New Roman" w:hAnsi="Times New Roman" w:cs="Times New Roman"/>
          <w:sz w:val="22"/>
        </w:rPr>
        <w:t xml:space="preserve">              </w:t>
      </w:r>
      <w:r w:rsidRPr="00EE1665">
        <w:rPr>
          <w:rFonts w:ascii="Times New Roman" w:hAnsi="Times New Roman" w:cs="Times New Roman"/>
          <w:sz w:val="22"/>
        </w:rPr>
        <w:t xml:space="preserve">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C37" w:rsidRDefault="00635C37">
      <w:pPr>
        <w:spacing w:after="0" w:line="240" w:lineRule="auto"/>
      </w:pPr>
      <w:r>
        <w:separator/>
      </w:r>
    </w:p>
  </w:endnote>
  <w:endnote w:type="continuationSeparator" w:id="0">
    <w:p w:rsidR="00635C37" w:rsidRDefault="00635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BB2369" w:rsidRPr="00BB2369">
      <w:rPr>
        <w:noProof/>
        <w:sz w:val="22"/>
      </w:rPr>
      <w:t>10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BB2369" w:rsidRPr="00BB2369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C37" w:rsidRDefault="00635C37">
      <w:pPr>
        <w:spacing w:after="0" w:line="240" w:lineRule="auto"/>
      </w:pPr>
      <w:r>
        <w:separator/>
      </w:r>
    </w:p>
  </w:footnote>
  <w:footnote w:type="continuationSeparator" w:id="0">
    <w:p w:rsidR="00635C37" w:rsidRDefault="00635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11132ED9"/>
    <w:multiLevelType w:val="multilevel"/>
    <w:tmpl w:val="54AE07C8"/>
    <w:numStyleLink w:val="Styl1"/>
  </w:abstractNum>
  <w:abstractNum w:abstractNumId="4" w15:restartNumberingAfterBreak="0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6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9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2" w15:restartNumberingAfterBreak="0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6" w15:restartNumberingAfterBreak="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 w15:restartNumberingAfterBreak="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0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1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21"/>
  </w:num>
  <w:num w:numId="7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>
    <w:abstractNumId w:val="24"/>
  </w:num>
  <w:num w:numId="9">
    <w:abstractNumId w:val="14"/>
  </w:num>
  <w:num w:numId="10">
    <w:abstractNumId w:val="11"/>
  </w:num>
  <w:num w:numId="11">
    <w:abstractNumId w:val="19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2"/>
  </w:num>
  <w:num w:numId="16">
    <w:abstractNumId w:val="18"/>
  </w:num>
  <w:num w:numId="17">
    <w:abstractNumId w:val="20"/>
  </w:num>
  <w:num w:numId="18">
    <w:abstractNumId w:val="7"/>
  </w:num>
  <w:num w:numId="19">
    <w:abstractNumId w:val="5"/>
  </w:num>
  <w:num w:numId="20">
    <w:abstractNumId w:val="22"/>
  </w:num>
  <w:num w:numId="21">
    <w:abstractNumId w:val="25"/>
  </w:num>
  <w:num w:numId="22">
    <w:abstractNumId w:val="16"/>
  </w:num>
  <w:num w:numId="23">
    <w:abstractNumId w:val="15"/>
  </w:num>
  <w:num w:numId="24">
    <w:abstractNumId w:val="17"/>
  </w:num>
  <w:num w:numId="25">
    <w:abstractNumId w:val="23"/>
  </w:num>
  <w:num w:numId="26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CB"/>
    <w:rsid w:val="00013863"/>
    <w:rsid w:val="00021376"/>
    <w:rsid w:val="00031BC5"/>
    <w:rsid w:val="00040993"/>
    <w:rsid w:val="00086E72"/>
    <w:rsid w:val="00094E19"/>
    <w:rsid w:val="000A706C"/>
    <w:rsid w:val="000B1B80"/>
    <w:rsid w:val="000B7D9F"/>
    <w:rsid w:val="000C3A8F"/>
    <w:rsid w:val="000D13B7"/>
    <w:rsid w:val="000E2662"/>
    <w:rsid w:val="000E5BF2"/>
    <w:rsid w:val="000E6893"/>
    <w:rsid w:val="000E6E2D"/>
    <w:rsid w:val="000F0598"/>
    <w:rsid w:val="001020DB"/>
    <w:rsid w:val="00113172"/>
    <w:rsid w:val="00113B95"/>
    <w:rsid w:val="00133954"/>
    <w:rsid w:val="001433DB"/>
    <w:rsid w:val="00153F5C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057D"/>
    <w:rsid w:val="001C527E"/>
    <w:rsid w:val="001E6E0F"/>
    <w:rsid w:val="0020471B"/>
    <w:rsid w:val="00205276"/>
    <w:rsid w:val="00206A28"/>
    <w:rsid w:val="00211133"/>
    <w:rsid w:val="00215FA9"/>
    <w:rsid w:val="00224EC9"/>
    <w:rsid w:val="00244B81"/>
    <w:rsid w:val="00260630"/>
    <w:rsid w:val="00275166"/>
    <w:rsid w:val="002772FC"/>
    <w:rsid w:val="00286F82"/>
    <w:rsid w:val="00292C20"/>
    <w:rsid w:val="00296A5C"/>
    <w:rsid w:val="002A2AB9"/>
    <w:rsid w:val="002B12B6"/>
    <w:rsid w:val="002B23B0"/>
    <w:rsid w:val="002B4D73"/>
    <w:rsid w:val="002C2FC4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13599"/>
    <w:rsid w:val="003150CC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A6FD0"/>
    <w:rsid w:val="003A7AA0"/>
    <w:rsid w:val="003B6C22"/>
    <w:rsid w:val="003C48D7"/>
    <w:rsid w:val="003C77E9"/>
    <w:rsid w:val="003D38B5"/>
    <w:rsid w:val="003D479E"/>
    <w:rsid w:val="003E62B4"/>
    <w:rsid w:val="003F458E"/>
    <w:rsid w:val="004003AA"/>
    <w:rsid w:val="00401A34"/>
    <w:rsid w:val="00416CFC"/>
    <w:rsid w:val="00423689"/>
    <w:rsid w:val="004343AA"/>
    <w:rsid w:val="00440600"/>
    <w:rsid w:val="004451AB"/>
    <w:rsid w:val="00450D4A"/>
    <w:rsid w:val="00471C86"/>
    <w:rsid w:val="004732B7"/>
    <w:rsid w:val="00477F17"/>
    <w:rsid w:val="0049270A"/>
    <w:rsid w:val="00496D46"/>
    <w:rsid w:val="004A1B98"/>
    <w:rsid w:val="004A477B"/>
    <w:rsid w:val="004A5143"/>
    <w:rsid w:val="004B1F80"/>
    <w:rsid w:val="004B6518"/>
    <w:rsid w:val="004C54D4"/>
    <w:rsid w:val="004C55EC"/>
    <w:rsid w:val="004D085C"/>
    <w:rsid w:val="004D3311"/>
    <w:rsid w:val="004F2F65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C36B1"/>
    <w:rsid w:val="005D3BCF"/>
    <w:rsid w:val="005D7782"/>
    <w:rsid w:val="005E56AE"/>
    <w:rsid w:val="005F53AA"/>
    <w:rsid w:val="00603446"/>
    <w:rsid w:val="00607820"/>
    <w:rsid w:val="00617575"/>
    <w:rsid w:val="00627166"/>
    <w:rsid w:val="00630209"/>
    <w:rsid w:val="00635C37"/>
    <w:rsid w:val="00671B10"/>
    <w:rsid w:val="00672CBA"/>
    <w:rsid w:val="00681DA6"/>
    <w:rsid w:val="006908DB"/>
    <w:rsid w:val="006B111B"/>
    <w:rsid w:val="006E0ADC"/>
    <w:rsid w:val="00700FC3"/>
    <w:rsid w:val="00701EE9"/>
    <w:rsid w:val="00710905"/>
    <w:rsid w:val="00727B8F"/>
    <w:rsid w:val="00727D82"/>
    <w:rsid w:val="0074683A"/>
    <w:rsid w:val="007674DD"/>
    <w:rsid w:val="00772A34"/>
    <w:rsid w:val="00791622"/>
    <w:rsid w:val="0079352D"/>
    <w:rsid w:val="007C1D2D"/>
    <w:rsid w:val="007D2CC9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75B1"/>
    <w:rsid w:val="008529D4"/>
    <w:rsid w:val="00890382"/>
    <w:rsid w:val="008956C9"/>
    <w:rsid w:val="008A27A8"/>
    <w:rsid w:val="008A5169"/>
    <w:rsid w:val="008B4125"/>
    <w:rsid w:val="008C0096"/>
    <w:rsid w:val="008C100A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5108A"/>
    <w:rsid w:val="00960E29"/>
    <w:rsid w:val="0096237D"/>
    <w:rsid w:val="009715E7"/>
    <w:rsid w:val="0097379B"/>
    <w:rsid w:val="0097522A"/>
    <w:rsid w:val="00984AFE"/>
    <w:rsid w:val="00993AD8"/>
    <w:rsid w:val="009A17A1"/>
    <w:rsid w:val="009A2AF6"/>
    <w:rsid w:val="009C74D8"/>
    <w:rsid w:val="009D43F3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33319"/>
    <w:rsid w:val="00A3700B"/>
    <w:rsid w:val="00A37E7E"/>
    <w:rsid w:val="00A733FC"/>
    <w:rsid w:val="00A80FFF"/>
    <w:rsid w:val="00A87F28"/>
    <w:rsid w:val="00A90F95"/>
    <w:rsid w:val="00A93366"/>
    <w:rsid w:val="00AB11BA"/>
    <w:rsid w:val="00AC0326"/>
    <w:rsid w:val="00AC378A"/>
    <w:rsid w:val="00AD5629"/>
    <w:rsid w:val="00AD7FA5"/>
    <w:rsid w:val="00AF28CE"/>
    <w:rsid w:val="00AF5E7F"/>
    <w:rsid w:val="00AF6548"/>
    <w:rsid w:val="00B221E3"/>
    <w:rsid w:val="00B25D5E"/>
    <w:rsid w:val="00B70F79"/>
    <w:rsid w:val="00B77F31"/>
    <w:rsid w:val="00B80B5A"/>
    <w:rsid w:val="00B82098"/>
    <w:rsid w:val="00B92E96"/>
    <w:rsid w:val="00BA7425"/>
    <w:rsid w:val="00BB2369"/>
    <w:rsid w:val="00BB468E"/>
    <w:rsid w:val="00BD1D95"/>
    <w:rsid w:val="00BE1B1F"/>
    <w:rsid w:val="00BF5AD4"/>
    <w:rsid w:val="00C13FAB"/>
    <w:rsid w:val="00C164CC"/>
    <w:rsid w:val="00C343F9"/>
    <w:rsid w:val="00C35615"/>
    <w:rsid w:val="00C41286"/>
    <w:rsid w:val="00C44078"/>
    <w:rsid w:val="00C60EB3"/>
    <w:rsid w:val="00C67E80"/>
    <w:rsid w:val="00C75FF2"/>
    <w:rsid w:val="00CB2372"/>
    <w:rsid w:val="00CD51FA"/>
    <w:rsid w:val="00CD5DA9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33F31"/>
    <w:rsid w:val="00D35A27"/>
    <w:rsid w:val="00D35C77"/>
    <w:rsid w:val="00D377A7"/>
    <w:rsid w:val="00D410CC"/>
    <w:rsid w:val="00D43E96"/>
    <w:rsid w:val="00D448BA"/>
    <w:rsid w:val="00D54650"/>
    <w:rsid w:val="00D561E1"/>
    <w:rsid w:val="00D661BE"/>
    <w:rsid w:val="00D80090"/>
    <w:rsid w:val="00D92E05"/>
    <w:rsid w:val="00DA1965"/>
    <w:rsid w:val="00DD4D8D"/>
    <w:rsid w:val="00E103E8"/>
    <w:rsid w:val="00E27F2E"/>
    <w:rsid w:val="00E31253"/>
    <w:rsid w:val="00E54C55"/>
    <w:rsid w:val="00E641AE"/>
    <w:rsid w:val="00E65742"/>
    <w:rsid w:val="00E93C15"/>
    <w:rsid w:val="00EB2987"/>
    <w:rsid w:val="00ED4B66"/>
    <w:rsid w:val="00EF7118"/>
    <w:rsid w:val="00F063D2"/>
    <w:rsid w:val="00F14750"/>
    <w:rsid w:val="00F61404"/>
    <w:rsid w:val="00F76A4B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1B6FB1C-CE14-43A2-9143-D5C17AF8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8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4646</Words>
  <Characters>27878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PZDP w Radomiu</cp:lastModifiedBy>
  <cp:revision>3</cp:revision>
  <cp:lastPrinted>2017-04-18T13:10:00Z</cp:lastPrinted>
  <dcterms:created xsi:type="dcterms:W3CDTF">2019-03-06T13:45:00Z</dcterms:created>
  <dcterms:modified xsi:type="dcterms:W3CDTF">2019-03-21T07:37:00Z</dcterms:modified>
</cp:coreProperties>
</file>